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A4561D">
        <w:rPr>
          <w:sz w:val="24"/>
          <w:szCs w:val="24"/>
        </w:rPr>
        <w:t>4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F77EB">
        <w:rPr>
          <w:sz w:val="24"/>
          <w:szCs w:val="24"/>
        </w:rPr>
        <w:t>2</w:t>
      </w:r>
      <w:r w:rsidR="00A4561D">
        <w:rPr>
          <w:sz w:val="24"/>
          <w:szCs w:val="24"/>
        </w:rPr>
        <w:t>8</w:t>
      </w:r>
      <w:r w:rsidR="009A77E9">
        <w:rPr>
          <w:sz w:val="24"/>
          <w:szCs w:val="24"/>
        </w:rPr>
        <w:t xml:space="preserve"> de </w:t>
      </w:r>
      <w:r w:rsidR="005E081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561D" w:rsidRPr="0047077E" w:rsidTr="00DB7B0D">
        <w:trPr>
          <w:trHeight w:val="187"/>
        </w:trPr>
        <w:tc>
          <w:tcPr>
            <w:tcW w:w="2268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A4561D" w:rsidRPr="0047077E" w:rsidTr="00DB7B0D">
        <w:trPr>
          <w:trHeight w:val="199"/>
        </w:trPr>
        <w:tc>
          <w:tcPr>
            <w:tcW w:w="2268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A4561D" w:rsidRPr="0047077E" w:rsidTr="00DB7B0D">
        <w:trPr>
          <w:trHeight w:val="199"/>
        </w:trPr>
        <w:tc>
          <w:tcPr>
            <w:tcW w:w="2268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850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A4561D" w:rsidRDefault="00BC69A9" w:rsidP="000765DC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A4561D" w:rsidRPr="0047077E" w:rsidTr="00DB7B0D">
        <w:trPr>
          <w:trHeight w:val="199"/>
        </w:trPr>
        <w:tc>
          <w:tcPr>
            <w:tcW w:w="2268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A4561D" w:rsidRPr="00EF70C2" w:rsidRDefault="00BC69A9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A4561D" w:rsidRPr="0047077E" w:rsidRDefault="00A4561D" w:rsidP="004600B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A4561D" w:rsidRPr="00EF70C2" w:rsidRDefault="00BC69A9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4561D" w:rsidRPr="0047077E" w:rsidTr="00DB7B0D">
        <w:trPr>
          <w:trHeight w:val="248"/>
        </w:trPr>
        <w:tc>
          <w:tcPr>
            <w:tcW w:w="2268" w:type="dxa"/>
          </w:tcPr>
          <w:p w:rsidR="00A4561D" w:rsidRDefault="00A4561D" w:rsidP="004600B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4561D" w:rsidRDefault="00A4561D" w:rsidP="004600B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9</w:t>
            </w:r>
          </w:p>
        </w:tc>
      </w:tr>
      <w:tr w:rsidR="00A4561D" w:rsidRPr="0047077E" w:rsidTr="00DB7B0D">
        <w:trPr>
          <w:trHeight w:val="248"/>
        </w:trPr>
        <w:tc>
          <w:tcPr>
            <w:tcW w:w="2268" w:type="dxa"/>
          </w:tcPr>
          <w:p w:rsidR="00A4561D" w:rsidRDefault="00A4561D" w:rsidP="004600B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4561D" w:rsidRDefault="00A4561D" w:rsidP="004600B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A4561D" w:rsidRDefault="00BC69A9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</w:tbl>
    <w:p w:rsidR="00BA2A7E" w:rsidRDefault="00C05BB3" w:rsidP="00C05BB3">
      <w:pPr>
        <w:ind w:left="360"/>
      </w:pPr>
      <w:r>
        <w:t xml:space="preserve">        </w:t>
      </w:r>
    </w:p>
    <w:p w:rsidR="00173E3C" w:rsidRDefault="00173E3C" w:rsidP="00E84E1C">
      <w:pPr>
        <w:ind w:left="360"/>
        <w:rPr>
          <w:b/>
        </w:rPr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BE61AA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555C30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2156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5E0818" w:rsidRDefault="00E5385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</w:tr>
      <w:tr w:rsidR="00E5385F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5385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F" w:rsidRPr="00CC55C6" w:rsidRDefault="00E5385F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85F" w:rsidRPr="00CC55C6" w:rsidRDefault="00E5385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173E3C" w:rsidRDefault="005B7CA7" w:rsidP="005B7CA7">
      <w:pPr>
        <w:rPr>
          <w:b/>
        </w:rPr>
      </w:pPr>
      <w:r>
        <w:rPr>
          <w:b/>
        </w:rPr>
        <w:t xml:space="preserve">   </w:t>
      </w:r>
    </w:p>
    <w:p w:rsidR="00173E3C" w:rsidRDefault="00173E3C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A4561D">
        <w:rPr>
          <w:b/>
          <w:u w:val="single"/>
        </w:rPr>
        <w:t>5</w:t>
      </w:r>
      <w:proofErr w:type="gramEnd"/>
      <w:r>
        <w:rPr>
          <w:b/>
          <w:u w:val="single"/>
        </w:rPr>
        <w:t xml:space="preserve"> </w:t>
      </w:r>
      <w:r w:rsidR="00A4561D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4561D" w:rsidP="00DB7B0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A433EB" w:rsidRPr="0047077E" w:rsidRDefault="00A4561D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4561D" w:rsidP="009B2E9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A4561D" w:rsidP="007C3AF1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4561D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2250" w:type="dxa"/>
          </w:tcPr>
          <w:p w:rsidR="00A433EB" w:rsidRPr="0047077E" w:rsidRDefault="00A4561D" w:rsidP="00DB7B0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A4561D" w:rsidP="007C3AF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Pr="0047077E" w:rsidRDefault="00A4561D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A4561D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Default="00A4561D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A4561D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DB7B0D" w:rsidRDefault="00A4561D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555C30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555C30" w:rsidRPr="00BC69A9" w:rsidRDefault="0026205F" w:rsidP="00555C30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C69A9">
        <w:t>2</w:t>
      </w:r>
      <w:r w:rsidR="00555C30">
        <w:t>8.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 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C69A9">
        <w:t>27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120EB4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BC69A9">
        <w:t>2, 14, 21, 23.</w:t>
      </w:r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</w:t>
      </w:r>
      <w:proofErr w:type="gramStart"/>
      <w:r w:rsidR="00E37CAD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C69A9">
        <w:t>2</w:t>
      </w:r>
      <w:r w:rsidR="00555C30">
        <w:t xml:space="preserve">, </w:t>
      </w:r>
      <w:r w:rsidR="00173E3C">
        <w:t>1</w:t>
      </w:r>
      <w:r w:rsidR="00555C30">
        <w:t>4</w:t>
      </w:r>
      <w:r w:rsidR="00173E3C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555C30">
        <w:t>.</w:t>
      </w:r>
      <w:proofErr w:type="gramEnd"/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BC69A9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BC69A9" w:rsidRPr="00A77348" w:rsidRDefault="00BC69A9" w:rsidP="00BC69A9">
      <w:pPr>
        <w:ind w:left="2880"/>
        <w:rPr>
          <w:u w:val="single"/>
        </w:rPr>
      </w:pPr>
      <w:r>
        <w:lastRenderedPageBreak/>
        <w:t xml:space="preserve">Ante la reclamación de </w:t>
      </w:r>
      <w:proofErr w:type="spellStart"/>
      <w:r>
        <w:t>Yepronor</w:t>
      </w:r>
      <w:proofErr w:type="spellEnd"/>
      <w:r>
        <w:t xml:space="preserve"> por el acceso del responsable sancionado del 8 40 al campo, antes de comenzar el encuentro para presentar a su delegado </w:t>
      </w:r>
      <w:r w:rsidR="00E5385F">
        <w:t xml:space="preserve">en el partido </w:t>
      </w:r>
      <w:r>
        <w:t>al árbitro</w:t>
      </w:r>
      <w:r w:rsidR="00E5385F">
        <w:t xml:space="preserve"> y entregar su Acta, permaneciendo durante el encuentro fuera de los límites del terreno de juego y banquillos, no se aprecia infracción alguna en esa acción.</w:t>
      </w:r>
      <w:r>
        <w:t xml:space="preserve"> 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</w:t>
            </w:r>
            <w:r w:rsidR="00D23480">
              <w:rPr>
                <w:sz w:val="20"/>
                <w:szCs w:val="20"/>
              </w:rPr>
              <w:lastRenderedPageBreak/>
              <w:t>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 xml:space="preserve">Equipos </w:t>
            </w:r>
            <w:r>
              <w:rPr>
                <w:b/>
              </w:rPr>
              <w:lastRenderedPageBreak/>
              <w:t>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 xml:space="preserve">Resto de </w:t>
            </w:r>
            <w:r>
              <w:rPr>
                <w:b/>
              </w:rPr>
              <w:lastRenderedPageBreak/>
              <w:t>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  <w:r w:rsidR="003A7DB8">
        <w:rPr>
          <w:b/>
          <w:u w:val="single"/>
        </w:rPr>
        <w:t xml:space="preserve"> </w:t>
      </w:r>
      <w:r w:rsidR="003A7DB8" w:rsidRPr="003A7DB8">
        <w:rPr>
          <w:b/>
          <w:sz w:val="16"/>
          <w:szCs w:val="16"/>
          <w:u w:val="single"/>
        </w:rPr>
        <w:t>(2)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D27AA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º trimestre 202</w:t>
      </w:r>
      <w:r w:rsidR="00D27AAD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p w:rsidR="003A7DB8" w:rsidRDefault="003A7DB8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3080"/>
        <w:gridCol w:w="2307"/>
      </w:tblGrid>
      <w:tr w:rsidR="003A7DB8" w:rsidTr="003A7DB8">
        <w:tc>
          <w:tcPr>
            <w:tcW w:w="3080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</w:rPr>
            </w:pPr>
            <w:r>
              <w:rPr>
                <w:rStyle w:val="Textoennegrita"/>
              </w:rPr>
              <w:t>Equipo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  <w:sz w:val="16"/>
                <w:szCs w:val="16"/>
              </w:rPr>
            </w:pPr>
            <w:r>
              <w:rPr>
                <w:rStyle w:val="Textoennegrita"/>
              </w:rPr>
              <w:t xml:space="preserve">Importe pendiente de pago </w:t>
            </w:r>
            <w:r>
              <w:rPr>
                <w:rStyle w:val="Textoennegrita"/>
                <w:sz w:val="16"/>
                <w:szCs w:val="16"/>
              </w:rPr>
              <w:t>(1)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8 40</w:t>
            </w:r>
          </w:p>
        </w:tc>
        <w:tc>
          <w:tcPr>
            <w:tcW w:w="2307" w:type="dxa"/>
          </w:tcPr>
          <w:p w:rsidR="003A7DB8" w:rsidRPr="003A7DB8" w:rsidRDefault="003A7DB8" w:rsidP="003A7DB8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220,27 €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Zabala</w:t>
            </w:r>
          </w:p>
        </w:tc>
        <w:tc>
          <w:tcPr>
            <w:tcW w:w="2307" w:type="dxa"/>
          </w:tcPr>
          <w:p w:rsidR="003A7DB8" w:rsidRPr="003A7DB8" w:rsidRDefault="003A7DB8" w:rsidP="003A7DB8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24,65 €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Cafeteros</w:t>
            </w:r>
          </w:p>
        </w:tc>
        <w:tc>
          <w:tcPr>
            <w:tcW w:w="2307" w:type="dxa"/>
          </w:tcPr>
          <w:p w:rsidR="003A7DB8" w:rsidRPr="003A7DB8" w:rsidRDefault="003A7DB8" w:rsidP="003A7DB8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219,44 €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Unirea</w:t>
            </w:r>
            <w:proofErr w:type="spellEnd"/>
          </w:p>
        </w:tc>
        <w:tc>
          <w:tcPr>
            <w:tcW w:w="2307" w:type="dxa"/>
          </w:tcPr>
          <w:p w:rsidR="003A7DB8" w:rsidRPr="003A7DB8" w:rsidRDefault="003A7DB8" w:rsidP="003A7DB8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26,12 €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Yepronor</w:t>
            </w:r>
            <w:proofErr w:type="spellEnd"/>
          </w:p>
        </w:tc>
        <w:tc>
          <w:tcPr>
            <w:tcW w:w="2307" w:type="dxa"/>
          </w:tcPr>
          <w:p w:rsidR="003A7DB8" w:rsidRPr="003A7DB8" w:rsidRDefault="003A7DB8" w:rsidP="003A7DB8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29,39 €</w:t>
            </w:r>
          </w:p>
        </w:tc>
      </w:tr>
    </w:tbl>
    <w:p w:rsidR="00D27AAD" w:rsidRDefault="00D27AAD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p w:rsidR="004600B1" w:rsidRPr="003A7DB8" w:rsidRDefault="003A7DB8" w:rsidP="003A7DB8">
      <w:pPr>
        <w:pStyle w:val="Prrafodelista"/>
        <w:numPr>
          <w:ilvl w:val="0"/>
          <w:numId w:val="17"/>
        </w:numPr>
        <w:spacing w:before="100" w:after="100"/>
        <w:jc w:val="both"/>
        <w:rPr>
          <w:color w:val="000000"/>
          <w:shd w:val="clear" w:color="auto" w:fill="FFFFFF"/>
        </w:rPr>
      </w:pPr>
      <w:r w:rsidRPr="003A7DB8">
        <w:rPr>
          <w:color w:val="000000"/>
          <w:shd w:val="clear" w:color="auto" w:fill="FFFFFF"/>
        </w:rPr>
        <w:t>Este importe se deberá ingresar antes del 23-4-2024.</w:t>
      </w:r>
    </w:p>
    <w:p w:rsidR="003A7DB8" w:rsidRPr="003A7DB8" w:rsidRDefault="003A7DB8" w:rsidP="003A7DB8">
      <w:pPr>
        <w:pStyle w:val="Prrafodelista"/>
        <w:ind w:left="1560"/>
        <w:jc w:val="both"/>
        <w:rPr>
          <w:color w:val="000000"/>
          <w:shd w:val="clear" w:color="auto" w:fill="FFFFFF"/>
        </w:rPr>
      </w:pPr>
      <w:r w:rsidRPr="003A7DB8">
        <w:rPr>
          <w:color w:val="000000"/>
          <w:shd w:val="clear" w:color="auto" w:fill="FFFFFF"/>
        </w:rPr>
        <w:t>A partir de ese momento se aplicará la penalización</w:t>
      </w:r>
      <w:r>
        <w:rPr>
          <w:color w:val="000000"/>
          <w:shd w:val="clear" w:color="auto" w:fill="FFFFFF"/>
        </w:rPr>
        <w:t xml:space="preserve"> </w:t>
      </w:r>
      <w:r w:rsidRPr="003A7DB8">
        <w:rPr>
          <w:color w:val="000000"/>
          <w:shd w:val="clear" w:color="auto" w:fill="FFFFFF"/>
        </w:rPr>
        <w:t>por retraso cada semana.</w:t>
      </w:r>
    </w:p>
    <w:p w:rsidR="00E71825" w:rsidRPr="00E5385F" w:rsidRDefault="00E96556" w:rsidP="00E71825">
      <w:pPr>
        <w:pStyle w:val="Prrafodelista"/>
        <w:numPr>
          <w:ilvl w:val="0"/>
          <w:numId w:val="17"/>
        </w:numPr>
        <w:spacing w:before="100" w:after="100"/>
        <w:jc w:val="both"/>
        <w:rPr>
          <w:color w:val="000000"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7117A9">
        <w:rPr>
          <w:b/>
          <w:u w:val="single"/>
        </w:rPr>
        <w:t>ene</w:t>
      </w:r>
      <w:r>
        <w:rPr>
          <w:b/>
          <w:u w:val="single"/>
        </w:rPr>
        <w:t>-</w:t>
      </w:r>
      <w:r w:rsidR="007117A9">
        <w:rPr>
          <w:b/>
          <w:u w:val="single"/>
        </w:rPr>
        <w:t>mzo.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871ED5" w:rsidRDefault="00871ED5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Se deben pagar antes del 23-4-2024 y son las siguientes:</w:t>
      </w:r>
    </w:p>
    <w:p w:rsidR="006539EA" w:rsidRDefault="006539EA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7640" w:type="dxa"/>
        <w:tblInd w:w="434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560"/>
        <w:gridCol w:w="1540"/>
      </w:tblGrid>
      <w:tr w:rsidR="006539EA" w:rsidRPr="006539EA" w:rsidTr="006539EA">
        <w:trPr>
          <w:trHeight w:val="780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9EA" w:rsidRPr="006539EA" w:rsidRDefault="006539EA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</w:tr>
      <w:tr w:rsidR="006539EA" w:rsidRPr="006539EA" w:rsidTr="006539EA">
        <w:trPr>
          <w:trHeight w:val="308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8 40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195,00 €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16,50 €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45,00 €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211,00 €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34,50 €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34,50 €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lastRenderedPageBreak/>
              <w:t>La Perla del Oeste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19,50 €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12,00 €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31,50 €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</w:t>
            </w:r>
            <w:r w:rsidR="001827F9">
              <w:rPr>
                <w:color w:val="00000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130,50 €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9,00 €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22,50 €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117,00 €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21,00 €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81,00 €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24,00 €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24,00 €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D7" w:rsidRDefault="00386AD7">
      <w:r>
        <w:separator/>
      </w:r>
    </w:p>
  </w:endnote>
  <w:endnote w:type="continuationSeparator" w:id="0">
    <w:p w:rsidR="00386AD7" w:rsidRDefault="0038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A9" w:rsidRDefault="00BC69A9">
    <w:pPr>
      <w:pStyle w:val="Piedepgina"/>
      <w:pBdr>
        <w:bottom w:val="single" w:sz="12" w:space="1" w:color="auto"/>
      </w:pBdr>
    </w:pPr>
  </w:p>
  <w:p w:rsidR="00BC69A9" w:rsidRPr="00B62BB2" w:rsidRDefault="00BC69A9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24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28</w:t>
    </w:r>
    <w:r w:rsidRPr="00B62BB2">
      <w:rPr>
        <w:sz w:val="18"/>
        <w:szCs w:val="18"/>
      </w:rPr>
      <w:t>-</w:t>
    </w:r>
    <w:r>
      <w:rPr>
        <w:sz w:val="18"/>
        <w:szCs w:val="18"/>
      </w:rPr>
      <w:t>4-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E5385F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E5385F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D7" w:rsidRDefault="00386AD7">
      <w:r>
        <w:separator/>
      </w:r>
    </w:p>
  </w:footnote>
  <w:footnote w:type="continuationSeparator" w:id="0">
    <w:p w:rsidR="00386AD7" w:rsidRDefault="0038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617C"/>
    <w:multiLevelType w:val="hybridMultilevel"/>
    <w:tmpl w:val="6BD2C600"/>
    <w:lvl w:ilvl="0" w:tplc="3E468C0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07E4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34F"/>
    <w:rsid w:val="00081A7B"/>
    <w:rsid w:val="000826AF"/>
    <w:rsid w:val="00084A84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A5F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4103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3E3C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7EB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6AD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DB8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D7A8E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0B1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114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2885"/>
    <w:rsid w:val="00543852"/>
    <w:rsid w:val="005460A1"/>
    <w:rsid w:val="005465E5"/>
    <w:rsid w:val="00547588"/>
    <w:rsid w:val="00550954"/>
    <w:rsid w:val="00552F97"/>
    <w:rsid w:val="005539AF"/>
    <w:rsid w:val="00554A21"/>
    <w:rsid w:val="00555C30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818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DC3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4A36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2BD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847"/>
    <w:rsid w:val="006A3DA3"/>
    <w:rsid w:val="006A3FCF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61"/>
    <w:rsid w:val="008753D4"/>
    <w:rsid w:val="00877270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19A2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5F58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452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27BE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561D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66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A7E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9A9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CC4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3FDA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27AAD"/>
    <w:rsid w:val="00D322C8"/>
    <w:rsid w:val="00D3274F"/>
    <w:rsid w:val="00D35F8A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4808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85F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1825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EF70C2"/>
    <w:rsid w:val="00F008C9"/>
    <w:rsid w:val="00F031D1"/>
    <w:rsid w:val="00F03279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42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96DE1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3A7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98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04D62-8074-4DF7-8509-6E40705B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2024-04-15T09:08:00Z</cp:lastPrinted>
  <dcterms:created xsi:type="dcterms:W3CDTF">2024-04-28T17:18:00Z</dcterms:created>
  <dcterms:modified xsi:type="dcterms:W3CDTF">2024-04-28T17:18:00Z</dcterms:modified>
</cp:coreProperties>
</file>